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65" w:rsidRPr="00570565" w:rsidRDefault="00570565" w:rsidP="00570565">
      <w:pPr>
        <w:spacing w:line="276" w:lineRule="auto"/>
        <w:ind w:left="5954"/>
        <w:rPr>
          <w:rFonts w:ascii="Palatino" w:hAnsi="Palatino"/>
          <w:b/>
          <w:sz w:val="28"/>
          <w:szCs w:val="28"/>
        </w:rPr>
      </w:pPr>
      <w:bookmarkStart w:id="0" w:name="_GoBack"/>
      <w:bookmarkEnd w:id="0"/>
      <w:r w:rsidRPr="00570565">
        <w:rPr>
          <w:rFonts w:ascii="Palatino" w:hAnsi="Palatino"/>
          <w:noProof/>
          <w:sz w:val="28"/>
          <w:szCs w:val="28"/>
          <w:lang w:val="en-GB" w:eastAsia="en-GB"/>
        </w:rPr>
        <w:drawing>
          <wp:inline distT="0" distB="0" distL="0" distR="0" wp14:anchorId="4056C557" wp14:editId="5BDD6A7A">
            <wp:extent cx="1419225" cy="342900"/>
            <wp:effectExtent l="0" t="0" r="3175"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342900"/>
                    </a:xfrm>
                    <a:prstGeom prst="rect">
                      <a:avLst/>
                    </a:prstGeom>
                    <a:noFill/>
                    <a:ln>
                      <a:noFill/>
                    </a:ln>
                  </pic:spPr>
                </pic:pic>
              </a:graphicData>
            </a:graphic>
          </wp:inline>
        </w:drawing>
      </w:r>
    </w:p>
    <w:p w:rsidR="00570565" w:rsidRPr="00570565" w:rsidRDefault="00570565" w:rsidP="00570565">
      <w:pPr>
        <w:spacing w:line="276" w:lineRule="auto"/>
        <w:rPr>
          <w:rFonts w:ascii="Palatino" w:hAnsi="Palatino"/>
          <w:b/>
          <w:sz w:val="28"/>
          <w:szCs w:val="28"/>
        </w:rPr>
      </w:pPr>
    </w:p>
    <w:p w:rsidR="00570565" w:rsidRPr="00570565" w:rsidRDefault="00570565" w:rsidP="00570565">
      <w:pPr>
        <w:spacing w:line="276" w:lineRule="auto"/>
        <w:jc w:val="center"/>
        <w:rPr>
          <w:rFonts w:ascii="Palatino" w:hAnsi="Palatino"/>
          <w:b/>
          <w:sz w:val="28"/>
          <w:szCs w:val="28"/>
        </w:rPr>
      </w:pPr>
      <w:r w:rsidRPr="00570565">
        <w:rPr>
          <w:rFonts w:ascii="Palatino" w:hAnsi="Palatino"/>
          <w:b/>
          <w:color w:val="0000FF"/>
          <w:sz w:val="28"/>
          <w:szCs w:val="28"/>
        </w:rPr>
        <w:t>Leading through change</w:t>
      </w:r>
      <w:r w:rsidRPr="00570565">
        <w:rPr>
          <w:rFonts w:ascii="Palatino" w:hAnsi="Palatino"/>
          <w:b/>
          <w:sz w:val="28"/>
          <w:szCs w:val="28"/>
        </w:rPr>
        <w:t xml:space="preserve">:  </w:t>
      </w:r>
      <w:r w:rsidRPr="00570565">
        <w:rPr>
          <w:rFonts w:ascii="Palatino" w:hAnsi="Palatino"/>
          <w:b/>
          <w:color w:val="0000FF"/>
          <w:sz w:val="28"/>
          <w:szCs w:val="28"/>
        </w:rPr>
        <w:t>Sow the seeds for success</w:t>
      </w:r>
    </w:p>
    <w:p w:rsidR="00570565" w:rsidRPr="00570565" w:rsidRDefault="00570565" w:rsidP="00570565">
      <w:pPr>
        <w:spacing w:line="276" w:lineRule="auto"/>
        <w:jc w:val="both"/>
        <w:rPr>
          <w:rFonts w:ascii="Palatino" w:hAnsi="Palatino"/>
          <w:b/>
        </w:rPr>
      </w:pPr>
    </w:p>
    <w:p w:rsidR="00570565" w:rsidRPr="00570565" w:rsidRDefault="00570565" w:rsidP="00570565">
      <w:pPr>
        <w:spacing w:line="276" w:lineRule="auto"/>
        <w:jc w:val="both"/>
        <w:rPr>
          <w:rFonts w:ascii="Palatino" w:hAnsi="Palatino"/>
          <w:b/>
        </w:rPr>
      </w:pPr>
      <w:r w:rsidRPr="00570565">
        <w:rPr>
          <w:rFonts w:ascii="Palatino" w:hAnsi="Palatino"/>
          <w:b/>
        </w:rPr>
        <w:t xml:space="preserve">Paul Teevan argues that many </w:t>
      </w:r>
      <w:proofErr w:type="spellStart"/>
      <w:r w:rsidRPr="00570565">
        <w:rPr>
          <w:rFonts w:ascii="Palatino" w:hAnsi="Palatino"/>
          <w:b/>
        </w:rPr>
        <w:t>organisations</w:t>
      </w:r>
      <w:proofErr w:type="spellEnd"/>
      <w:r w:rsidRPr="00570565">
        <w:rPr>
          <w:rFonts w:ascii="Palatino" w:hAnsi="Palatino"/>
          <w:b/>
        </w:rPr>
        <w:t xml:space="preserve"> do not approach </w:t>
      </w:r>
      <w:r>
        <w:rPr>
          <w:rFonts w:ascii="Palatino" w:hAnsi="Palatino"/>
          <w:b/>
        </w:rPr>
        <w:t>transformation</w:t>
      </w:r>
      <w:r w:rsidRPr="00570565">
        <w:rPr>
          <w:rFonts w:ascii="Palatino" w:hAnsi="Palatino"/>
          <w:b/>
        </w:rPr>
        <w:t xml:space="preserve"> in the right way.  Too</w:t>
      </w:r>
      <w:r>
        <w:rPr>
          <w:rFonts w:ascii="Palatino" w:hAnsi="Palatino"/>
          <w:b/>
        </w:rPr>
        <w:t xml:space="preserve"> often, the focus is on </w:t>
      </w:r>
      <w:r w:rsidRPr="009226AD">
        <w:rPr>
          <w:rFonts w:ascii="Palatino" w:hAnsi="Palatino"/>
          <w:b/>
          <w:i/>
        </w:rPr>
        <w:t>activities</w:t>
      </w:r>
      <w:r>
        <w:rPr>
          <w:rFonts w:ascii="Palatino" w:hAnsi="Palatino"/>
          <w:b/>
        </w:rPr>
        <w:t xml:space="preserve"> </w:t>
      </w:r>
      <w:r w:rsidR="00640F7E">
        <w:rPr>
          <w:rFonts w:ascii="Palatino" w:hAnsi="Palatino"/>
          <w:b/>
        </w:rPr>
        <w:t>to effect</w:t>
      </w:r>
      <w:r w:rsidRPr="00570565">
        <w:rPr>
          <w:rFonts w:ascii="Palatino" w:hAnsi="Palatino"/>
          <w:b/>
        </w:rPr>
        <w:t xml:space="preserve"> change </w:t>
      </w:r>
      <w:r>
        <w:rPr>
          <w:rFonts w:ascii="Palatino" w:hAnsi="Palatino"/>
          <w:b/>
        </w:rPr>
        <w:t xml:space="preserve">- </w:t>
      </w:r>
      <w:r w:rsidRPr="00570565">
        <w:rPr>
          <w:rFonts w:ascii="Palatino" w:hAnsi="Palatino"/>
          <w:b/>
        </w:rPr>
        <w:t>wit</w:t>
      </w:r>
      <w:r>
        <w:rPr>
          <w:rFonts w:ascii="Palatino" w:hAnsi="Palatino"/>
          <w:b/>
        </w:rPr>
        <w:t>h insufficient investment in HOW</w:t>
      </w:r>
      <w:r w:rsidRPr="00570565">
        <w:rPr>
          <w:rFonts w:ascii="Palatino" w:hAnsi="Palatino"/>
          <w:b/>
        </w:rPr>
        <w:t xml:space="preserve"> su</w:t>
      </w:r>
      <w:r w:rsidR="00385E51">
        <w:rPr>
          <w:rFonts w:ascii="Palatino" w:hAnsi="Palatino"/>
          <w:b/>
        </w:rPr>
        <w:t>ccessful transformation</w:t>
      </w:r>
      <w:r w:rsidR="00640F7E">
        <w:rPr>
          <w:rFonts w:ascii="Palatino" w:hAnsi="Palatino"/>
          <w:b/>
        </w:rPr>
        <w:t xml:space="preserve"> will be achieved</w:t>
      </w:r>
      <w:r w:rsidR="00385E51">
        <w:rPr>
          <w:rFonts w:ascii="Palatino" w:hAnsi="Palatino"/>
          <w:b/>
        </w:rPr>
        <w:t xml:space="preserve">. </w:t>
      </w:r>
      <w:r w:rsidR="00640F7E">
        <w:rPr>
          <w:rFonts w:ascii="Palatino" w:hAnsi="Palatino"/>
          <w:b/>
        </w:rPr>
        <w:t>Develop</w:t>
      </w:r>
      <w:r w:rsidRPr="00570565">
        <w:rPr>
          <w:rFonts w:ascii="Palatino" w:hAnsi="Palatino"/>
          <w:b/>
        </w:rPr>
        <w:t>ing a clear chang</w:t>
      </w:r>
      <w:r w:rsidR="00992D4D">
        <w:rPr>
          <w:rFonts w:ascii="Palatino" w:hAnsi="Palatino"/>
          <w:b/>
        </w:rPr>
        <w:t xml:space="preserve">e model and creating </w:t>
      </w:r>
      <w:r w:rsidR="0064359F">
        <w:rPr>
          <w:rFonts w:ascii="Palatino" w:hAnsi="Palatino"/>
          <w:b/>
        </w:rPr>
        <w:t>impetus are the initial</w:t>
      </w:r>
      <w:r w:rsidRPr="00570565">
        <w:rPr>
          <w:rFonts w:ascii="Palatino" w:hAnsi="Palatino"/>
          <w:b/>
        </w:rPr>
        <w:t xml:space="preserve"> key steps.</w:t>
      </w:r>
    </w:p>
    <w:p w:rsidR="00570565" w:rsidRPr="00570565" w:rsidRDefault="00570565" w:rsidP="00570565">
      <w:pPr>
        <w:spacing w:line="276" w:lineRule="auto"/>
        <w:rPr>
          <w:rFonts w:ascii="Palatino" w:hAnsi="Palatino"/>
        </w:rPr>
      </w:pPr>
    </w:p>
    <w:p w:rsidR="00570565" w:rsidRPr="00570565" w:rsidRDefault="00570565" w:rsidP="00570565">
      <w:pPr>
        <w:spacing w:line="276" w:lineRule="auto"/>
        <w:jc w:val="both"/>
        <w:rPr>
          <w:rFonts w:ascii="Palatino" w:hAnsi="Palatino"/>
        </w:rPr>
      </w:pPr>
      <w:r w:rsidRPr="00570565">
        <w:rPr>
          <w:rFonts w:ascii="Palatino" w:hAnsi="Palatino"/>
        </w:rPr>
        <w:t xml:space="preserve">Leaders </w:t>
      </w:r>
      <w:r w:rsidR="00C5074E">
        <w:rPr>
          <w:rFonts w:ascii="Palatino" w:hAnsi="Palatino"/>
        </w:rPr>
        <w:t xml:space="preserve">can and should </w:t>
      </w:r>
      <w:r w:rsidRPr="00570565">
        <w:rPr>
          <w:rFonts w:ascii="Palatino" w:hAnsi="Palatino"/>
        </w:rPr>
        <w:t xml:space="preserve">spend most of their time trying to change things for the better. The piece of advice I have probably given most to </w:t>
      </w:r>
      <w:r w:rsidR="00385E51">
        <w:rPr>
          <w:rFonts w:ascii="Palatino" w:hAnsi="Palatino"/>
        </w:rPr>
        <w:t xml:space="preserve">CEOs </w:t>
      </w:r>
      <w:r w:rsidRPr="00570565">
        <w:rPr>
          <w:rFonts w:ascii="Palatino" w:hAnsi="Palatino"/>
        </w:rPr>
        <w:t>is ‘Prepare the ground for change</w:t>
      </w:r>
      <w:r w:rsidR="0064359F">
        <w:rPr>
          <w:rFonts w:ascii="Palatino" w:hAnsi="Palatino"/>
        </w:rPr>
        <w:t xml:space="preserve"> - </w:t>
      </w:r>
      <w:r w:rsidR="00992D4D">
        <w:rPr>
          <w:rFonts w:ascii="Palatino" w:hAnsi="Palatino"/>
        </w:rPr>
        <w:t>generate impetus</w:t>
      </w:r>
      <w:r w:rsidRPr="00570565">
        <w:rPr>
          <w:rFonts w:ascii="Palatino" w:hAnsi="Palatino"/>
        </w:rPr>
        <w:t>’.  Most leaders</w:t>
      </w:r>
      <w:r w:rsidR="00385E51">
        <w:rPr>
          <w:rFonts w:ascii="Palatino" w:hAnsi="Palatino"/>
        </w:rPr>
        <w:t xml:space="preserve"> attempting transformation do not</w:t>
      </w:r>
      <w:r w:rsidRPr="00570565">
        <w:rPr>
          <w:rFonts w:ascii="Palatino" w:hAnsi="Palatino"/>
        </w:rPr>
        <w:t xml:space="preserve"> do </w:t>
      </w:r>
      <w:r w:rsidR="00385E51">
        <w:rPr>
          <w:rFonts w:ascii="Palatino" w:hAnsi="Palatino"/>
        </w:rPr>
        <w:t>this well enou</w:t>
      </w:r>
      <w:r w:rsidR="00C5074E">
        <w:rPr>
          <w:rFonts w:ascii="Palatino" w:hAnsi="Palatino"/>
        </w:rPr>
        <w:t xml:space="preserve">gh.  </w:t>
      </w:r>
      <w:proofErr w:type="gramStart"/>
      <w:r w:rsidR="00C5074E">
        <w:rPr>
          <w:rFonts w:ascii="Palatino" w:hAnsi="Palatino"/>
        </w:rPr>
        <w:t xml:space="preserve">Or </w:t>
      </w:r>
      <w:r w:rsidR="009226AD">
        <w:rPr>
          <w:rFonts w:ascii="Palatino" w:hAnsi="Palatino"/>
        </w:rPr>
        <w:t xml:space="preserve">sometimes </w:t>
      </w:r>
      <w:r w:rsidR="00C5074E">
        <w:rPr>
          <w:rFonts w:ascii="Palatino" w:hAnsi="Palatino"/>
        </w:rPr>
        <w:t>not at all.</w:t>
      </w:r>
      <w:proofErr w:type="gramEnd"/>
    </w:p>
    <w:p w:rsidR="00570565" w:rsidRPr="00570565" w:rsidRDefault="00570565" w:rsidP="00570565">
      <w:pPr>
        <w:spacing w:line="276" w:lineRule="auto"/>
        <w:jc w:val="both"/>
        <w:rPr>
          <w:rFonts w:ascii="Palatino" w:hAnsi="Palatino"/>
        </w:rPr>
      </w:pPr>
    </w:p>
    <w:p w:rsidR="0064359F" w:rsidRDefault="00C5074E" w:rsidP="00570565">
      <w:pPr>
        <w:spacing w:line="276" w:lineRule="auto"/>
        <w:jc w:val="both"/>
        <w:rPr>
          <w:rFonts w:ascii="Palatino" w:hAnsi="Palatino"/>
        </w:rPr>
      </w:pPr>
      <w:r>
        <w:rPr>
          <w:rFonts w:ascii="Palatino" w:hAnsi="Palatino"/>
        </w:rPr>
        <w:t xml:space="preserve">There are reasons.  </w:t>
      </w:r>
      <w:r w:rsidR="00570565" w:rsidRPr="00570565">
        <w:rPr>
          <w:rFonts w:ascii="Palatino" w:hAnsi="Palatino"/>
        </w:rPr>
        <w:t>Time pressure - the need to improve business performance or deliver the next quarter’s earnings creates</w:t>
      </w:r>
      <w:r w:rsidR="009226AD">
        <w:rPr>
          <w:rFonts w:ascii="Palatino" w:hAnsi="Palatino"/>
        </w:rPr>
        <w:t xml:space="preserve"> the drive to make a fast start </w:t>
      </w:r>
      <w:proofErr w:type="gramStart"/>
      <w:r w:rsidR="009226AD">
        <w:rPr>
          <w:rFonts w:ascii="Palatino" w:hAnsi="Palatino"/>
        </w:rPr>
        <w:t>-  b</w:t>
      </w:r>
      <w:r w:rsidR="00570565" w:rsidRPr="00570565">
        <w:rPr>
          <w:rFonts w:ascii="Palatino" w:hAnsi="Palatino"/>
        </w:rPr>
        <w:t>ut</w:t>
      </w:r>
      <w:proofErr w:type="gramEnd"/>
      <w:r w:rsidR="00570565" w:rsidRPr="00570565">
        <w:rPr>
          <w:rFonts w:ascii="Palatino" w:hAnsi="Palatino"/>
        </w:rPr>
        <w:t xml:space="preserve"> if this results in a hasty rush into an ill-designed initiative, the outcome can be disastrous.  Businesses often spend too much time looking at the WHATs (activity required to change the business) - but insufficient time on the HOWs (how are we going to generate the impetus for change and also make improvement stick</w:t>
      </w:r>
      <w:r w:rsidR="00385E51">
        <w:rPr>
          <w:rFonts w:ascii="Palatino" w:hAnsi="Palatino"/>
        </w:rPr>
        <w:t xml:space="preserve"> and endure</w:t>
      </w:r>
      <w:r w:rsidR="00570565" w:rsidRPr="00570565">
        <w:rPr>
          <w:rFonts w:ascii="Palatino" w:hAnsi="Palatino"/>
        </w:rPr>
        <w:t>?)</w:t>
      </w:r>
      <w:r w:rsidR="00640F7E">
        <w:rPr>
          <w:rFonts w:ascii="Palatino" w:hAnsi="Palatino"/>
        </w:rPr>
        <w:t xml:space="preserve">  </w:t>
      </w:r>
      <w:r w:rsidR="0064359F" w:rsidRPr="0064359F">
        <w:rPr>
          <w:rFonts w:ascii="Palatino" w:hAnsi="Palatino"/>
        </w:rPr>
        <w:t>Consider how many job adverts for ‘change</w:t>
      </w:r>
      <w:r w:rsidR="0054591C">
        <w:rPr>
          <w:rFonts w:ascii="Palatino" w:hAnsi="Palatino"/>
        </w:rPr>
        <w:t xml:space="preserve"> leaders’ now actually want IT specialists</w:t>
      </w:r>
      <w:r w:rsidR="0064359F" w:rsidRPr="0064359F">
        <w:rPr>
          <w:rFonts w:ascii="Palatino" w:hAnsi="Palatino"/>
        </w:rPr>
        <w:t xml:space="preserve"> - operators.  </w:t>
      </w:r>
      <w:r w:rsidR="00385E51">
        <w:rPr>
          <w:rFonts w:ascii="Palatino" w:hAnsi="Palatino"/>
        </w:rPr>
        <w:t>First and foremost</w:t>
      </w:r>
      <w:r w:rsidR="009226AD">
        <w:rPr>
          <w:rFonts w:ascii="Palatino" w:hAnsi="Palatino"/>
        </w:rPr>
        <w:t>,</w:t>
      </w:r>
      <w:r w:rsidR="00570565" w:rsidRPr="00570565">
        <w:rPr>
          <w:rFonts w:ascii="Palatino" w:hAnsi="Palatino"/>
        </w:rPr>
        <w:t xml:space="preserve"> leaders need a change model - a route map that clarifies how t</w:t>
      </w:r>
      <w:r w:rsidR="009226AD">
        <w:rPr>
          <w:rFonts w:ascii="Palatino" w:hAnsi="Palatino"/>
        </w:rPr>
        <w:t>hey will effect change.  I do not</w:t>
      </w:r>
      <w:r w:rsidR="00570565" w:rsidRPr="00570565">
        <w:rPr>
          <w:rFonts w:ascii="Palatino" w:hAnsi="Palatino"/>
        </w:rPr>
        <w:t xml:space="preserve"> mean WHAT they need to do, but HOW they are </w:t>
      </w:r>
      <w:r w:rsidR="00385E51">
        <w:rPr>
          <w:rFonts w:ascii="Palatino" w:hAnsi="Palatino"/>
        </w:rPr>
        <w:t xml:space="preserve">going to do it.  Consider </w:t>
      </w:r>
      <w:r w:rsidR="009226AD">
        <w:rPr>
          <w:rFonts w:ascii="Palatino" w:hAnsi="Palatino"/>
        </w:rPr>
        <w:t xml:space="preserve">some </w:t>
      </w:r>
      <w:r w:rsidR="00570565" w:rsidRPr="00570565">
        <w:rPr>
          <w:rFonts w:ascii="Palatino" w:hAnsi="Palatino"/>
        </w:rPr>
        <w:t xml:space="preserve">critical early steps that </w:t>
      </w:r>
      <w:r w:rsidR="009226AD">
        <w:rPr>
          <w:rFonts w:ascii="Palatino" w:hAnsi="Palatino"/>
        </w:rPr>
        <w:t xml:space="preserve">help </w:t>
      </w:r>
      <w:r w:rsidR="00570565" w:rsidRPr="00570565">
        <w:rPr>
          <w:rFonts w:ascii="Palatino" w:hAnsi="Palatino"/>
        </w:rPr>
        <w:t xml:space="preserve">steer a business towards </w:t>
      </w:r>
      <w:r w:rsidR="009226AD">
        <w:rPr>
          <w:rFonts w:ascii="Palatino" w:hAnsi="Palatino"/>
        </w:rPr>
        <w:t xml:space="preserve">a </w:t>
      </w:r>
      <w:r w:rsidR="00570565" w:rsidRPr="00570565">
        <w:rPr>
          <w:rFonts w:ascii="Palatino" w:hAnsi="Palatino"/>
        </w:rPr>
        <w:t>success</w:t>
      </w:r>
      <w:r w:rsidR="009226AD">
        <w:rPr>
          <w:rFonts w:ascii="Palatino" w:hAnsi="Palatino"/>
        </w:rPr>
        <w:t>ful result</w:t>
      </w:r>
      <w:r w:rsidR="00570565" w:rsidRPr="00570565">
        <w:rPr>
          <w:rFonts w:ascii="Palatino" w:hAnsi="Palatino"/>
        </w:rPr>
        <w:t>.</w:t>
      </w:r>
    </w:p>
    <w:p w:rsidR="00640F7E" w:rsidRDefault="00640F7E" w:rsidP="00570565">
      <w:pPr>
        <w:spacing w:line="276" w:lineRule="auto"/>
        <w:jc w:val="both"/>
        <w:rPr>
          <w:rFonts w:ascii="Palatino" w:hAnsi="Palatino"/>
        </w:rPr>
      </w:pPr>
    </w:p>
    <w:p w:rsidR="00640F7E" w:rsidRDefault="00640F7E" w:rsidP="00570565">
      <w:pPr>
        <w:spacing w:line="276" w:lineRule="auto"/>
        <w:jc w:val="both"/>
        <w:rPr>
          <w:rFonts w:ascii="Palatino" w:hAnsi="Palatino"/>
        </w:rPr>
      </w:pPr>
      <w:r>
        <w:rPr>
          <w:rFonts w:ascii="Palatino" w:hAnsi="Palatino"/>
          <w:noProof/>
          <w:lang w:val="en-GB" w:eastAsia="en-GB"/>
        </w:rPr>
        <w:lastRenderedPageBreak/>
        <w:drawing>
          <wp:inline distT="0" distB="0" distL="0" distR="0">
            <wp:extent cx="5270500" cy="3074670"/>
            <wp:effectExtent l="0" t="19050" r="0" b="685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570565" w:rsidRPr="00570565" w:rsidRDefault="00570565" w:rsidP="00570565">
      <w:pPr>
        <w:spacing w:line="276" w:lineRule="auto"/>
        <w:jc w:val="both"/>
        <w:rPr>
          <w:rFonts w:ascii="Palatino" w:hAnsi="Palatino"/>
        </w:rPr>
      </w:pPr>
      <w:r w:rsidRPr="00570565">
        <w:rPr>
          <w:rFonts w:ascii="Palatino" w:hAnsi="Palatino"/>
          <w:b/>
        </w:rPr>
        <w:t xml:space="preserve">First, create impetus for </w:t>
      </w:r>
      <w:proofErr w:type="gramStart"/>
      <w:r w:rsidRPr="00570565">
        <w:rPr>
          <w:rFonts w:ascii="Palatino" w:hAnsi="Palatino"/>
          <w:b/>
        </w:rPr>
        <w:t>change</w:t>
      </w:r>
      <w:r w:rsidRPr="00570565">
        <w:rPr>
          <w:rFonts w:ascii="Palatino" w:hAnsi="Palatino"/>
        </w:rPr>
        <w:t xml:space="preserve">  Intransigence</w:t>
      </w:r>
      <w:proofErr w:type="gramEnd"/>
      <w:r w:rsidRPr="00570565">
        <w:rPr>
          <w:rFonts w:ascii="Palatino" w:hAnsi="Palatino"/>
        </w:rPr>
        <w:t xml:space="preserve"> is rife in most </w:t>
      </w:r>
      <w:proofErr w:type="spellStart"/>
      <w:r w:rsidRPr="00570565">
        <w:rPr>
          <w:rFonts w:ascii="Palatino" w:hAnsi="Palatino"/>
        </w:rPr>
        <w:t>organisations</w:t>
      </w:r>
      <w:proofErr w:type="spellEnd"/>
      <w:r w:rsidRPr="00570565">
        <w:rPr>
          <w:rFonts w:ascii="Palatino" w:hAnsi="Palatino"/>
        </w:rPr>
        <w:t xml:space="preserve">.  You’ve heard comments like “People don’t like change”.  Sadly, that’s often quite true.   So how do you persuade your people of the urgency for change?  Customer feedback is one great catalyst.  If your customers are telling you, in depth and specifically, that you need to change, most employees </w:t>
      </w:r>
      <w:proofErr w:type="spellStart"/>
      <w:r w:rsidRPr="00570565">
        <w:rPr>
          <w:rFonts w:ascii="Palatino" w:hAnsi="Palatino"/>
        </w:rPr>
        <w:t>realise</w:t>
      </w:r>
      <w:proofErr w:type="spellEnd"/>
      <w:r w:rsidRPr="00570565">
        <w:rPr>
          <w:rFonts w:ascii="Palatino" w:hAnsi="Palatino"/>
        </w:rPr>
        <w:t xml:space="preserve"> they had better listen</w:t>
      </w:r>
      <w:r w:rsidR="009226AD">
        <w:rPr>
          <w:rFonts w:ascii="Palatino" w:hAnsi="Palatino"/>
        </w:rPr>
        <w:t>.  D</w:t>
      </w:r>
      <w:r w:rsidR="00992D4D">
        <w:rPr>
          <w:rFonts w:ascii="Palatino" w:hAnsi="Palatino"/>
        </w:rPr>
        <w:t>o you speak strategically and sufficiently with your key customers and prospects</w:t>
      </w:r>
      <w:r w:rsidR="009226AD">
        <w:rPr>
          <w:rFonts w:ascii="Palatino" w:hAnsi="Palatino"/>
        </w:rPr>
        <w:t xml:space="preserve"> and </w:t>
      </w:r>
      <w:r w:rsidR="009226AD" w:rsidRPr="009226AD">
        <w:rPr>
          <w:rFonts w:ascii="Palatino" w:hAnsi="Palatino"/>
          <w:i/>
        </w:rPr>
        <w:t>do you use that feedback to effect change</w:t>
      </w:r>
      <w:r w:rsidR="00992D4D">
        <w:rPr>
          <w:rFonts w:ascii="Palatino" w:hAnsi="Palatino"/>
        </w:rPr>
        <w:t>?</w:t>
      </w:r>
      <w:r w:rsidRPr="00570565">
        <w:rPr>
          <w:rFonts w:ascii="Palatino" w:hAnsi="Palatino"/>
        </w:rPr>
        <w:t xml:space="preserve">  </w:t>
      </w:r>
      <w:r w:rsidR="00C5074E">
        <w:rPr>
          <w:rFonts w:ascii="Palatino" w:hAnsi="Palatino"/>
        </w:rPr>
        <w:t>Most businesses don’t</w:t>
      </w:r>
      <w:r w:rsidR="009226AD">
        <w:rPr>
          <w:rFonts w:ascii="Palatino" w:hAnsi="Palatino"/>
        </w:rPr>
        <w:t xml:space="preserve"> talk anything like enough to their customers, on the right issues</w:t>
      </w:r>
      <w:r w:rsidR="0054591C">
        <w:rPr>
          <w:rFonts w:ascii="Palatino" w:hAnsi="Palatino"/>
        </w:rPr>
        <w:t xml:space="preserve">.  </w:t>
      </w:r>
      <w:r w:rsidRPr="00570565">
        <w:rPr>
          <w:rFonts w:ascii="Palatino" w:hAnsi="Palatino"/>
        </w:rPr>
        <w:t xml:space="preserve">Or, </w:t>
      </w:r>
      <w:r w:rsidR="009226AD">
        <w:rPr>
          <w:rFonts w:ascii="Palatino" w:hAnsi="Palatino"/>
        </w:rPr>
        <w:t xml:space="preserve">you can </w:t>
      </w:r>
      <w:r w:rsidRPr="00570565">
        <w:rPr>
          <w:rFonts w:ascii="Palatino" w:hAnsi="Palatino"/>
        </w:rPr>
        <w:t>spell out an impending crisis.  Or even engineer a crisis.  Flag a massive missed opportunity.  Do what you have to do to drive out complacency.</w:t>
      </w:r>
      <w:r w:rsidR="00A40F61">
        <w:rPr>
          <w:rFonts w:ascii="Palatino" w:hAnsi="Palatino"/>
        </w:rPr>
        <w:t xml:space="preserve">  </w:t>
      </w:r>
      <w:r w:rsidR="009226AD">
        <w:rPr>
          <w:rFonts w:ascii="Palatino" w:hAnsi="Palatino"/>
        </w:rPr>
        <w:t xml:space="preserve">Recently, </w:t>
      </w:r>
      <w:r w:rsidR="0054591C">
        <w:rPr>
          <w:rFonts w:ascii="Palatino" w:hAnsi="Palatino"/>
        </w:rPr>
        <w:t>I was involved</w:t>
      </w:r>
      <w:r w:rsidR="00A40F61">
        <w:rPr>
          <w:rFonts w:ascii="Palatino" w:hAnsi="Palatino"/>
        </w:rPr>
        <w:t xml:space="preserve"> with the Board of a </w:t>
      </w:r>
      <w:r w:rsidR="00992D4D">
        <w:rPr>
          <w:rFonts w:ascii="Palatino" w:hAnsi="Palatino"/>
        </w:rPr>
        <w:t xml:space="preserve">UK </w:t>
      </w:r>
      <w:r w:rsidR="00A40F61">
        <w:rPr>
          <w:rFonts w:ascii="Palatino" w:hAnsi="Palatino"/>
        </w:rPr>
        <w:t>logistics company on a change initiative and halfway through the meeting a member of staff burst in with the news that their biggest customer, a huge international company</w:t>
      </w:r>
      <w:r w:rsidR="009226AD">
        <w:rPr>
          <w:rFonts w:ascii="Palatino" w:hAnsi="Palatino"/>
        </w:rPr>
        <w:t>,</w:t>
      </w:r>
      <w:r w:rsidR="00A40F61">
        <w:rPr>
          <w:rFonts w:ascii="Palatino" w:hAnsi="Palatino"/>
        </w:rPr>
        <w:t xml:space="preserve"> had just taken all their work back in-house, which was 33% of annual profit and 20% of turnover.  Bad news - but it sure did focus the Board’s attention on the urgency for change and the sceptics quickly became </w:t>
      </w:r>
      <w:r w:rsidR="00992D4D">
        <w:rPr>
          <w:rFonts w:ascii="Palatino" w:hAnsi="Palatino"/>
        </w:rPr>
        <w:t xml:space="preserve">active </w:t>
      </w:r>
      <w:r w:rsidR="00A40F61">
        <w:rPr>
          <w:rFonts w:ascii="Palatino" w:hAnsi="Palatino"/>
        </w:rPr>
        <w:t>supporters.</w:t>
      </w:r>
    </w:p>
    <w:p w:rsidR="00570565" w:rsidRPr="00570565" w:rsidRDefault="00570565" w:rsidP="00570565">
      <w:pPr>
        <w:spacing w:line="276" w:lineRule="auto"/>
        <w:jc w:val="both"/>
        <w:rPr>
          <w:rFonts w:ascii="Palatino" w:hAnsi="Palatino"/>
        </w:rPr>
      </w:pPr>
    </w:p>
    <w:p w:rsidR="00570565" w:rsidRPr="00570565" w:rsidRDefault="00385E51" w:rsidP="00570565">
      <w:pPr>
        <w:spacing w:line="276" w:lineRule="auto"/>
        <w:jc w:val="both"/>
        <w:rPr>
          <w:rFonts w:ascii="Palatino" w:hAnsi="Palatino"/>
        </w:rPr>
      </w:pPr>
      <w:r>
        <w:rPr>
          <w:rFonts w:ascii="Palatino" w:hAnsi="Palatino"/>
          <w:b/>
        </w:rPr>
        <w:t>Enlist</w:t>
      </w:r>
      <w:r w:rsidR="00570565" w:rsidRPr="00570565">
        <w:rPr>
          <w:rFonts w:ascii="Palatino" w:hAnsi="Palatino"/>
          <w:b/>
        </w:rPr>
        <w:t xml:space="preserve"> a cadre of influential supporters</w:t>
      </w:r>
      <w:r w:rsidR="00570565" w:rsidRPr="00570565">
        <w:rPr>
          <w:rFonts w:ascii="Palatino" w:hAnsi="Palatino"/>
        </w:rPr>
        <w:t xml:space="preserve">  You don’t need everyone to agree the solution</w:t>
      </w:r>
      <w:r w:rsidR="00570565">
        <w:rPr>
          <w:rFonts w:ascii="Palatino" w:hAnsi="Palatino"/>
        </w:rPr>
        <w:t>…</w:t>
      </w:r>
      <w:r w:rsidR="00570565" w:rsidRPr="00570565">
        <w:rPr>
          <w:rFonts w:ascii="Palatino" w:hAnsi="Palatino"/>
        </w:rPr>
        <w:t>.but you do need sufficient influential people on your side, especially when the going gets tough.  Even if you are the powerful CEO, odds are you cannot achieve far-reaching change on your own. Ask</w:t>
      </w:r>
      <w:r w:rsidR="0054591C">
        <w:rPr>
          <w:rFonts w:ascii="Palatino" w:hAnsi="Palatino"/>
        </w:rPr>
        <w:t xml:space="preserve"> yourself</w:t>
      </w:r>
      <w:r w:rsidR="00570565" w:rsidRPr="00570565">
        <w:rPr>
          <w:rFonts w:ascii="Palatino" w:hAnsi="Palatino"/>
        </w:rPr>
        <w:t xml:space="preserve">:  Who is </w:t>
      </w:r>
      <w:r w:rsidR="0054591C">
        <w:rPr>
          <w:rFonts w:ascii="Palatino" w:hAnsi="Palatino"/>
        </w:rPr>
        <w:t xml:space="preserve">(really) </w:t>
      </w:r>
      <w:r w:rsidR="00570565" w:rsidRPr="00570565">
        <w:rPr>
          <w:rFonts w:ascii="Palatino" w:hAnsi="Palatino"/>
        </w:rPr>
        <w:t xml:space="preserve">with me? </w:t>
      </w:r>
      <w:r w:rsidR="0064359F">
        <w:rPr>
          <w:rFonts w:ascii="Palatino" w:hAnsi="Palatino"/>
        </w:rPr>
        <w:t xml:space="preserve"> </w:t>
      </w:r>
      <w:r w:rsidR="00992D4D">
        <w:rPr>
          <w:rFonts w:ascii="Palatino" w:hAnsi="Palatino"/>
        </w:rPr>
        <w:t xml:space="preserve">The most influential people in </w:t>
      </w:r>
      <w:proofErr w:type="spellStart"/>
      <w:r w:rsidR="00992D4D">
        <w:rPr>
          <w:rFonts w:ascii="Palatino" w:hAnsi="Palatino"/>
        </w:rPr>
        <w:t>organisations</w:t>
      </w:r>
      <w:proofErr w:type="spellEnd"/>
      <w:r w:rsidR="00992D4D">
        <w:rPr>
          <w:rFonts w:ascii="Palatino" w:hAnsi="Palatino"/>
        </w:rPr>
        <w:t xml:space="preserve"> are often not the best paid - winning over a long serving, well respected </w:t>
      </w:r>
      <w:r w:rsidR="0064359F">
        <w:rPr>
          <w:rFonts w:ascii="Palatino" w:hAnsi="Palatino"/>
        </w:rPr>
        <w:t xml:space="preserve">HQ </w:t>
      </w:r>
      <w:r w:rsidR="00992D4D">
        <w:rPr>
          <w:rFonts w:ascii="Palatino" w:hAnsi="Palatino"/>
        </w:rPr>
        <w:t>office manager who knew everyone</w:t>
      </w:r>
      <w:r>
        <w:rPr>
          <w:rFonts w:ascii="Palatino" w:hAnsi="Palatino"/>
        </w:rPr>
        <w:t>, was the</w:t>
      </w:r>
      <w:r w:rsidR="00992D4D">
        <w:rPr>
          <w:rFonts w:ascii="Palatino" w:hAnsi="Palatino"/>
        </w:rPr>
        <w:t xml:space="preserve"> key tipping point i</w:t>
      </w:r>
      <w:r w:rsidR="0064359F">
        <w:rPr>
          <w:rFonts w:ascii="Palatino" w:hAnsi="Palatino"/>
        </w:rPr>
        <w:t xml:space="preserve">n my first </w:t>
      </w:r>
      <w:r w:rsidR="0064359F">
        <w:rPr>
          <w:rFonts w:ascii="Palatino" w:hAnsi="Palatino"/>
        </w:rPr>
        <w:lastRenderedPageBreak/>
        <w:t>major change project.  Winning over the head of a large trade union was the tipping point in my next project.</w:t>
      </w:r>
    </w:p>
    <w:p w:rsidR="00570565" w:rsidRPr="00570565" w:rsidRDefault="00570565" w:rsidP="00570565">
      <w:pPr>
        <w:spacing w:line="276" w:lineRule="auto"/>
        <w:jc w:val="both"/>
        <w:rPr>
          <w:rFonts w:ascii="Palatino" w:hAnsi="Palatino"/>
        </w:rPr>
      </w:pPr>
    </w:p>
    <w:p w:rsidR="00570565" w:rsidRPr="00570565" w:rsidRDefault="00570565" w:rsidP="00570565">
      <w:pPr>
        <w:spacing w:line="276" w:lineRule="auto"/>
        <w:jc w:val="both"/>
        <w:rPr>
          <w:rFonts w:ascii="Palatino" w:hAnsi="Palatino"/>
        </w:rPr>
      </w:pPr>
      <w:r w:rsidRPr="00570565">
        <w:rPr>
          <w:rFonts w:ascii="Palatino" w:hAnsi="Palatino"/>
          <w:b/>
        </w:rPr>
        <w:t xml:space="preserve">Paint a compelling </w:t>
      </w:r>
      <w:proofErr w:type="gramStart"/>
      <w:r w:rsidRPr="00570565">
        <w:rPr>
          <w:rFonts w:ascii="Palatino" w:hAnsi="Palatino"/>
          <w:b/>
        </w:rPr>
        <w:t>future</w:t>
      </w:r>
      <w:r w:rsidRPr="00570565">
        <w:rPr>
          <w:rFonts w:ascii="Palatino" w:hAnsi="Palatino"/>
        </w:rPr>
        <w:t xml:space="preserve">  Most</w:t>
      </w:r>
      <w:proofErr w:type="gramEnd"/>
      <w:r w:rsidRPr="00570565">
        <w:rPr>
          <w:rFonts w:ascii="Palatino" w:hAnsi="Palatino"/>
        </w:rPr>
        <w:t xml:space="preserve"> people will contribute and follow if they see a better future.  Nearly always this should include describing benefits for customers and service.  Avoid business jargon at all costs - an</w:t>
      </w:r>
      <w:r w:rsidR="00385E51">
        <w:rPr>
          <w:rFonts w:ascii="Palatino" w:hAnsi="Palatino"/>
        </w:rPr>
        <w:t>d if it takes more than about ten seconds to articulate your</w:t>
      </w:r>
      <w:r w:rsidRPr="00570565">
        <w:rPr>
          <w:rFonts w:ascii="Palatino" w:hAnsi="Palatino"/>
        </w:rPr>
        <w:t xml:space="preserve"> vision, you are not clear enough in your own mind</w:t>
      </w:r>
      <w:r w:rsidR="0064359F">
        <w:rPr>
          <w:rFonts w:ascii="Palatino" w:hAnsi="Palatino"/>
        </w:rPr>
        <w:t>.  This can be</w:t>
      </w:r>
      <w:r w:rsidRPr="00570565">
        <w:rPr>
          <w:rFonts w:ascii="Palatino" w:hAnsi="Palatino"/>
        </w:rPr>
        <w:t xml:space="preserve"> difficult to do well, but is worth the effort, because you can return to the picture you have painted time and time again to remind peopl</w:t>
      </w:r>
      <w:r w:rsidR="0064359F">
        <w:rPr>
          <w:rFonts w:ascii="Palatino" w:hAnsi="Palatino"/>
        </w:rPr>
        <w:t>e of the compelling</w:t>
      </w:r>
      <w:r w:rsidRPr="00570565">
        <w:rPr>
          <w:rFonts w:ascii="Palatino" w:hAnsi="Palatino"/>
        </w:rPr>
        <w:t xml:space="preserve"> case for change.  </w:t>
      </w:r>
    </w:p>
    <w:p w:rsidR="00570565" w:rsidRPr="00570565" w:rsidRDefault="00570565" w:rsidP="00570565">
      <w:pPr>
        <w:spacing w:line="276" w:lineRule="auto"/>
        <w:jc w:val="both"/>
        <w:rPr>
          <w:rFonts w:ascii="Palatino" w:hAnsi="Palatino"/>
        </w:rPr>
      </w:pPr>
    </w:p>
    <w:p w:rsidR="00992D4D" w:rsidRPr="00570565" w:rsidRDefault="0064359F" w:rsidP="00992D4D">
      <w:pPr>
        <w:spacing w:line="276" w:lineRule="auto"/>
        <w:jc w:val="both"/>
        <w:rPr>
          <w:rFonts w:ascii="Palatino" w:hAnsi="Palatino"/>
        </w:rPr>
      </w:pPr>
      <w:r>
        <w:rPr>
          <w:rFonts w:ascii="Palatino" w:hAnsi="Palatino"/>
        </w:rPr>
        <w:t>These are just three</w:t>
      </w:r>
      <w:r w:rsidR="00570565" w:rsidRPr="00570565">
        <w:rPr>
          <w:rFonts w:ascii="Palatino" w:hAnsi="Palatino"/>
        </w:rPr>
        <w:t xml:space="preserve"> steps in sowing the seeds for success. Three-quarters of transformational initiatives fail, because they never </w:t>
      </w:r>
      <w:r>
        <w:rPr>
          <w:rFonts w:ascii="Palatino" w:hAnsi="Palatino"/>
        </w:rPr>
        <w:t>reach a tipping point where leaders</w:t>
      </w:r>
      <w:r w:rsidR="00570565" w:rsidRPr="00570565">
        <w:rPr>
          <w:rFonts w:ascii="Palatino" w:hAnsi="Palatino"/>
        </w:rPr>
        <w:t xml:space="preserve"> have created the impetus for change, supported by enough influential people who are constant</w:t>
      </w:r>
      <w:r w:rsidR="00385E51">
        <w:rPr>
          <w:rFonts w:ascii="Palatino" w:hAnsi="Palatino"/>
        </w:rPr>
        <w:t xml:space="preserve">ly clarifying what is needed in </w:t>
      </w:r>
      <w:r w:rsidR="00570565" w:rsidRPr="00570565">
        <w:rPr>
          <w:rFonts w:ascii="Palatino" w:hAnsi="Palatino"/>
        </w:rPr>
        <w:t xml:space="preserve">the future. </w:t>
      </w:r>
      <w:r w:rsidR="0054591C">
        <w:rPr>
          <w:rFonts w:ascii="Palatino" w:hAnsi="Palatino"/>
        </w:rPr>
        <w:t>Transformation</w:t>
      </w:r>
      <w:r w:rsidR="00992D4D">
        <w:rPr>
          <w:rFonts w:ascii="Palatino" w:hAnsi="Palatino"/>
        </w:rPr>
        <w:t xml:space="preserve"> is complex and I have touche</w:t>
      </w:r>
      <w:r w:rsidR="00385E51">
        <w:rPr>
          <w:rFonts w:ascii="Palatino" w:hAnsi="Palatino"/>
        </w:rPr>
        <w:t xml:space="preserve">d on just a few initial factors. </w:t>
      </w:r>
      <w:r w:rsidR="00992D4D">
        <w:rPr>
          <w:rFonts w:ascii="Palatino" w:hAnsi="Palatino"/>
        </w:rPr>
        <w:t xml:space="preserve"> I have not mapped out at all</w:t>
      </w:r>
      <w:r w:rsidR="00570565" w:rsidRPr="00570565">
        <w:rPr>
          <w:rFonts w:ascii="Palatino" w:hAnsi="Palatino"/>
        </w:rPr>
        <w:t xml:space="preserve"> the challenges in successful </w:t>
      </w:r>
      <w:r w:rsidR="00570565" w:rsidRPr="00992D4D">
        <w:rPr>
          <w:rFonts w:ascii="Palatino" w:hAnsi="Palatino"/>
          <w:i/>
        </w:rPr>
        <w:t>execution</w:t>
      </w:r>
      <w:r w:rsidR="00570565" w:rsidRPr="00570565">
        <w:rPr>
          <w:rFonts w:ascii="Palatino" w:hAnsi="Palatino"/>
        </w:rPr>
        <w:t xml:space="preserve"> of change.  </w:t>
      </w:r>
      <w:r w:rsidR="00992D4D">
        <w:rPr>
          <w:rFonts w:ascii="Palatino" w:hAnsi="Palatino"/>
        </w:rPr>
        <w:t>Leading through change is the most important role of a leader - and if you do not prepare the ground, do not</w:t>
      </w:r>
      <w:r w:rsidR="00992D4D" w:rsidRPr="00570565">
        <w:rPr>
          <w:rFonts w:ascii="Palatino" w:hAnsi="Palatino"/>
        </w:rPr>
        <w:t xml:space="preserve"> be surprised if the harvest fails.</w:t>
      </w:r>
    </w:p>
    <w:p w:rsidR="00570565" w:rsidRDefault="00570565" w:rsidP="00570565">
      <w:pPr>
        <w:spacing w:line="276" w:lineRule="auto"/>
        <w:jc w:val="both"/>
        <w:rPr>
          <w:rFonts w:ascii="Palatino" w:hAnsi="Palatino"/>
        </w:rPr>
      </w:pPr>
    </w:p>
    <w:p w:rsidR="007C34CF" w:rsidRPr="00385E51" w:rsidRDefault="00570565">
      <w:pPr>
        <w:rPr>
          <w:rFonts w:ascii="Palatino" w:hAnsi="Palatino"/>
          <w:sz w:val="22"/>
          <w:szCs w:val="22"/>
        </w:rPr>
      </w:pPr>
      <w:hyperlink r:id="rId11" w:history="1">
        <w:r w:rsidRPr="00674AD6">
          <w:rPr>
            <w:rStyle w:val="Hyperlink"/>
            <w:rFonts w:ascii="Palatino" w:hAnsi="Palatino"/>
            <w:sz w:val="22"/>
            <w:szCs w:val="22"/>
          </w:rPr>
          <w:t>paul.teevan@btinternet.com</w:t>
        </w:r>
      </w:hyperlink>
      <w:r>
        <w:rPr>
          <w:rFonts w:ascii="Palatino" w:hAnsi="Palatino"/>
          <w:sz w:val="22"/>
          <w:szCs w:val="22"/>
        </w:rPr>
        <w:tab/>
      </w:r>
      <w:r>
        <w:rPr>
          <w:rFonts w:ascii="Palatino" w:hAnsi="Palatino"/>
          <w:sz w:val="22"/>
          <w:szCs w:val="22"/>
        </w:rPr>
        <w:tab/>
      </w:r>
      <w:r>
        <w:rPr>
          <w:rFonts w:ascii="Palatino" w:hAnsi="Palatino"/>
          <w:sz w:val="22"/>
          <w:szCs w:val="22"/>
        </w:rPr>
        <w:tab/>
      </w:r>
      <w:r>
        <w:rPr>
          <w:rFonts w:ascii="Palatino" w:hAnsi="Palatino"/>
          <w:sz w:val="22"/>
          <w:szCs w:val="22"/>
        </w:rPr>
        <w:tab/>
        <w:t xml:space="preserve">       www.teevanconsulting.co.uk</w:t>
      </w:r>
    </w:p>
    <w:sectPr w:rsidR="007C34CF" w:rsidRPr="00385E51" w:rsidSect="007C34C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65"/>
    <w:rsid w:val="00385E51"/>
    <w:rsid w:val="0054591C"/>
    <w:rsid w:val="00570565"/>
    <w:rsid w:val="00640F7E"/>
    <w:rsid w:val="0064359F"/>
    <w:rsid w:val="007C34CF"/>
    <w:rsid w:val="009226AD"/>
    <w:rsid w:val="00992D4D"/>
    <w:rsid w:val="00A40F61"/>
    <w:rsid w:val="00C5074E"/>
    <w:rsid w:val="00DB4F76"/>
    <w:rsid w:val="00EC4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5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0565"/>
    <w:rPr>
      <w:rFonts w:ascii="Lucida Grande" w:hAnsi="Lucida Grande" w:cs="Lucida Grande"/>
      <w:sz w:val="18"/>
      <w:szCs w:val="18"/>
    </w:rPr>
  </w:style>
  <w:style w:type="character" w:styleId="Hyperlink">
    <w:name w:val="Hyperlink"/>
    <w:basedOn w:val="DefaultParagraphFont"/>
    <w:uiPriority w:val="99"/>
    <w:unhideWhenUsed/>
    <w:rsid w:val="00570565"/>
    <w:rPr>
      <w:color w:val="0000FF" w:themeColor="hyperlink"/>
      <w:u w:val="single"/>
    </w:rPr>
  </w:style>
  <w:style w:type="character" w:styleId="FollowedHyperlink">
    <w:name w:val="FollowedHyperlink"/>
    <w:basedOn w:val="DefaultParagraphFont"/>
    <w:uiPriority w:val="99"/>
    <w:semiHidden/>
    <w:unhideWhenUsed/>
    <w:rsid w:val="00992D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5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0565"/>
    <w:rPr>
      <w:rFonts w:ascii="Lucida Grande" w:hAnsi="Lucida Grande" w:cs="Lucida Grande"/>
      <w:sz w:val="18"/>
      <w:szCs w:val="18"/>
    </w:rPr>
  </w:style>
  <w:style w:type="character" w:styleId="Hyperlink">
    <w:name w:val="Hyperlink"/>
    <w:basedOn w:val="DefaultParagraphFont"/>
    <w:uiPriority w:val="99"/>
    <w:unhideWhenUsed/>
    <w:rsid w:val="00570565"/>
    <w:rPr>
      <w:color w:val="0000FF" w:themeColor="hyperlink"/>
      <w:u w:val="single"/>
    </w:rPr>
  </w:style>
  <w:style w:type="character" w:styleId="FollowedHyperlink">
    <w:name w:val="FollowedHyperlink"/>
    <w:basedOn w:val="DefaultParagraphFont"/>
    <w:uiPriority w:val="99"/>
    <w:semiHidden/>
    <w:unhideWhenUsed/>
    <w:rsid w:val="00992D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yperlink" Target="mailto:paul.teevan@btinternet.com" TargetMode="Externa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912B3B-04D4-8044-AD6A-BA3546922ED6}" type="doc">
      <dgm:prSet loTypeId="urn:microsoft.com/office/officeart/2005/8/layout/cycle6" loCatId="" qsTypeId="urn:microsoft.com/office/officeart/2005/8/quickstyle/simple4" qsCatId="simple" csTypeId="urn:microsoft.com/office/officeart/2005/8/colors/colorful4" csCatId="colorful" phldr="1"/>
      <dgm:spPr/>
      <dgm:t>
        <a:bodyPr/>
        <a:lstStyle/>
        <a:p>
          <a:endParaRPr lang="en-US"/>
        </a:p>
      </dgm:t>
    </dgm:pt>
    <dgm:pt modelId="{6E658D61-9451-9346-B181-37BF3EF340CB}">
      <dgm:prSet phldrT="[Text]"/>
      <dgm:spPr/>
      <dgm:t>
        <a:bodyPr/>
        <a:lstStyle/>
        <a:p>
          <a:r>
            <a:rPr lang="en-US"/>
            <a:t>Create impetus for change</a:t>
          </a:r>
        </a:p>
      </dgm:t>
    </dgm:pt>
    <dgm:pt modelId="{F9F5CABC-F1C0-C54F-9E90-725D66DC0F26}" type="parTrans" cxnId="{EF647CF0-F305-8945-BD22-83FD1CF4EAAC}">
      <dgm:prSet/>
      <dgm:spPr/>
      <dgm:t>
        <a:bodyPr/>
        <a:lstStyle/>
        <a:p>
          <a:endParaRPr lang="en-US"/>
        </a:p>
      </dgm:t>
    </dgm:pt>
    <dgm:pt modelId="{145E2EF5-9E9B-AB4A-A355-6080ECBFD9BC}" type="sibTrans" cxnId="{EF647CF0-F305-8945-BD22-83FD1CF4EAAC}">
      <dgm:prSet/>
      <dgm:spPr/>
      <dgm:t>
        <a:bodyPr/>
        <a:lstStyle/>
        <a:p>
          <a:endParaRPr lang="en-US"/>
        </a:p>
      </dgm:t>
    </dgm:pt>
    <dgm:pt modelId="{D2E6C290-7F44-E342-816C-7651911EB482}">
      <dgm:prSet phldrT="[Text]"/>
      <dgm:spPr/>
      <dgm:t>
        <a:bodyPr/>
        <a:lstStyle/>
        <a:p>
          <a:r>
            <a:rPr lang="en-US"/>
            <a:t>Enlist a cadre of influential supporters</a:t>
          </a:r>
        </a:p>
      </dgm:t>
    </dgm:pt>
    <dgm:pt modelId="{6EABDDBC-8185-F54C-BA60-C4278B582683}" type="parTrans" cxnId="{54F1E589-AD08-3847-9C5A-F99666405D30}">
      <dgm:prSet/>
      <dgm:spPr/>
      <dgm:t>
        <a:bodyPr/>
        <a:lstStyle/>
        <a:p>
          <a:endParaRPr lang="en-US"/>
        </a:p>
      </dgm:t>
    </dgm:pt>
    <dgm:pt modelId="{89574192-8365-5948-B8BE-FA2E6C521572}" type="sibTrans" cxnId="{54F1E589-AD08-3847-9C5A-F99666405D30}">
      <dgm:prSet/>
      <dgm:spPr/>
      <dgm:t>
        <a:bodyPr/>
        <a:lstStyle/>
        <a:p>
          <a:endParaRPr lang="en-US"/>
        </a:p>
      </dgm:t>
    </dgm:pt>
    <dgm:pt modelId="{5BB3B078-FC7E-AE47-ADEA-A6BFCCADC973}">
      <dgm:prSet phldrT="[Text]"/>
      <dgm:spPr/>
      <dgm:t>
        <a:bodyPr/>
        <a:lstStyle/>
        <a:p>
          <a:r>
            <a:rPr lang="en-US"/>
            <a:t>Paint a compelling future</a:t>
          </a:r>
        </a:p>
      </dgm:t>
    </dgm:pt>
    <dgm:pt modelId="{56EF45E1-AC98-7749-B23C-CA7B125FAFCF}" type="parTrans" cxnId="{2DBED725-D3CD-E042-9DEA-97D63EC6D872}">
      <dgm:prSet/>
      <dgm:spPr/>
      <dgm:t>
        <a:bodyPr/>
        <a:lstStyle/>
        <a:p>
          <a:endParaRPr lang="en-US"/>
        </a:p>
      </dgm:t>
    </dgm:pt>
    <dgm:pt modelId="{9B36B787-6C7C-D145-AA48-0545047E986C}" type="sibTrans" cxnId="{2DBED725-D3CD-E042-9DEA-97D63EC6D872}">
      <dgm:prSet/>
      <dgm:spPr/>
      <dgm:t>
        <a:bodyPr/>
        <a:lstStyle/>
        <a:p>
          <a:endParaRPr lang="en-US"/>
        </a:p>
      </dgm:t>
    </dgm:pt>
    <dgm:pt modelId="{80703968-C224-DC4E-A21E-EDB9B4CA43C2}">
      <dgm:prSet phldrT="[Text]"/>
      <dgm:spPr/>
      <dgm:t>
        <a:bodyPr/>
        <a:lstStyle/>
        <a:p>
          <a:r>
            <a:rPr lang="en-US"/>
            <a:t>Now you can think about implementation!</a:t>
          </a:r>
        </a:p>
      </dgm:t>
    </dgm:pt>
    <dgm:pt modelId="{D71FB5EF-26E8-314F-8E56-023F6067BEDE}" type="parTrans" cxnId="{3EBE0979-FAD5-874A-9739-E4653942EB44}">
      <dgm:prSet/>
      <dgm:spPr/>
      <dgm:t>
        <a:bodyPr/>
        <a:lstStyle/>
        <a:p>
          <a:endParaRPr lang="en-US"/>
        </a:p>
      </dgm:t>
    </dgm:pt>
    <dgm:pt modelId="{5578BC09-CDE9-BC44-8ECC-9A3CDA5A954B}" type="sibTrans" cxnId="{3EBE0979-FAD5-874A-9739-E4653942EB44}">
      <dgm:prSet/>
      <dgm:spPr/>
      <dgm:t>
        <a:bodyPr/>
        <a:lstStyle/>
        <a:p>
          <a:endParaRPr lang="en-US"/>
        </a:p>
      </dgm:t>
    </dgm:pt>
    <dgm:pt modelId="{959FD4BE-5EDB-5A42-8707-B2C411724B5F}" type="pres">
      <dgm:prSet presAssocID="{E3912B3B-04D4-8044-AD6A-BA3546922ED6}" presName="cycle" presStyleCnt="0">
        <dgm:presLayoutVars>
          <dgm:dir/>
          <dgm:resizeHandles val="exact"/>
        </dgm:presLayoutVars>
      </dgm:prSet>
      <dgm:spPr/>
      <dgm:t>
        <a:bodyPr/>
        <a:lstStyle/>
        <a:p>
          <a:endParaRPr lang="en-GB"/>
        </a:p>
      </dgm:t>
    </dgm:pt>
    <dgm:pt modelId="{6EEC5B51-9D92-F44F-A2A7-FAE994CB3486}" type="pres">
      <dgm:prSet presAssocID="{6E658D61-9451-9346-B181-37BF3EF340CB}" presName="node" presStyleLbl="node1" presStyleIdx="0" presStyleCnt="4" custRadScaleRad="100375" custRadScaleInc="13875">
        <dgm:presLayoutVars>
          <dgm:bulletEnabled val="1"/>
        </dgm:presLayoutVars>
      </dgm:prSet>
      <dgm:spPr/>
      <dgm:t>
        <a:bodyPr/>
        <a:lstStyle/>
        <a:p>
          <a:endParaRPr lang="en-GB"/>
        </a:p>
      </dgm:t>
    </dgm:pt>
    <dgm:pt modelId="{174C0158-8762-7F40-B7DA-33F72AE37C18}" type="pres">
      <dgm:prSet presAssocID="{6E658D61-9451-9346-B181-37BF3EF340CB}" presName="spNode" presStyleCnt="0"/>
      <dgm:spPr/>
    </dgm:pt>
    <dgm:pt modelId="{3D069D34-1D80-3548-8CD4-7777BF328E3A}" type="pres">
      <dgm:prSet presAssocID="{145E2EF5-9E9B-AB4A-A355-6080ECBFD9BC}" presName="sibTrans" presStyleLbl="sibTrans1D1" presStyleIdx="0" presStyleCnt="4"/>
      <dgm:spPr/>
      <dgm:t>
        <a:bodyPr/>
        <a:lstStyle/>
        <a:p>
          <a:endParaRPr lang="en-GB"/>
        </a:p>
      </dgm:t>
    </dgm:pt>
    <dgm:pt modelId="{BCE07B45-5B72-4A49-B15A-442170BC112B}" type="pres">
      <dgm:prSet presAssocID="{D2E6C290-7F44-E342-816C-7651911EB482}" presName="node" presStyleLbl="node1" presStyleIdx="1" presStyleCnt="4">
        <dgm:presLayoutVars>
          <dgm:bulletEnabled val="1"/>
        </dgm:presLayoutVars>
      </dgm:prSet>
      <dgm:spPr/>
      <dgm:t>
        <a:bodyPr/>
        <a:lstStyle/>
        <a:p>
          <a:endParaRPr lang="en-US"/>
        </a:p>
      </dgm:t>
    </dgm:pt>
    <dgm:pt modelId="{7D47771F-723D-534A-A889-7B4EB8FC8C85}" type="pres">
      <dgm:prSet presAssocID="{D2E6C290-7F44-E342-816C-7651911EB482}" presName="spNode" presStyleCnt="0"/>
      <dgm:spPr/>
    </dgm:pt>
    <dgm:pt modelId="{0B3F485B-5F0F-5F45-BA9A-CA22BA61BBF9}" type="pres">
      <dgm:prSet presAssocID="{89574192-8365-5948-B8BE-FA2E6C521572}" presName="sibTrans" presStyleLbl="sibTrans1D1" presStyleIdx="1" presStyleCnt="4"/>
      <dgm:spPr/>
      <dgm:t>
        <a:bodyPr/>
        <a:lstStyle/>
        <a:p>
          <a:endParaRPr lang="en-GB"/>
        </a:p>
      </dgm:t>
    </dgm:pt>
    <dgm:pt modelId="{CDA1B77E-BE8F-7545-9055-0784F5BC2602}" type="pres">
      <dgm:prSet presAssocID="{5BB3B078-FC7E-AE47-ADEA-A6BFCCADC973}" presName="node" presStyleLbl="node1" presStyleIdx="2" presStyleCnt="4">
        <dgm:presLayoutVars>
          <dgm:bulletEnabled val="1"/>
        </dgm:presLayoutVars>
      </dgm:prSet>
      <dgm:spPr/>
      <dgm:t>
        <a:bodyPr/>
        <a:lstStyle/>
        <a:p>
          <a:endParaRPr lang="en-GB"/>
        </a:p>
      </dgm:t>
    </dgm:pt>
    <dgm:pt modelId="{70E31A2F-7189-FA4D-A45C-0E6EC5840A72}" type="pres">
      <dgm:prSet presAssocID="{5BB3B078-FC7E-AE47-ADEA-A6BFCCADC973}" presName="spNode" presStyleCnt="0"/>
      <dgm:spPr/>
    </dgm:pt>
    <dgm:pt modelId="{355A13E1-F3D2-A744-8C36-84B089A3941E}" type="pres">
      <dgm:prSet presAssocID="{9B36B787-6C7C-D145-AA48-0545047E986C}" presName="sibTrans" presStyleLbl="sibTrans1D1" presStyleIdx="2" presStyleCnt="4"/>
      <dgm:spPr/>
      <dgm:t>
        <a:bodyPr/>
        <a:lstStyle/>
        <a:p>
          <a:endParaRPr lang="en-GB"/>
        </a:p>
      </dgm:t>
    </dgm:pt>
    <dgm:pt modelId="{54D2A21F-96D1-3046-8B78-10E103EB7F14}" type="pres">
      <dgm:prSet presAssocID="{80703968-C224-DC4E-A21E-EDB9B4CA43C2}" presName="node" presStyleLbl="node1" presStyleIdx="3" presStyleCnt="4">
        <dgm:presLayoutVars>
          <dgm:bulletEnabled val="1"/>
        </dgm:presLayoutVars>
      </dgm:prSet>
      <dgm:spPr/>
      <dgm:t>
        <a:bodyPr/>
        <a:lstStyle/>
        <a:p>
          <a:endParaRPr lang="en-GB"/>
        </a:p>
      </dgm:t>
    </dgm:pt>
    <dgm:pt modelId="{CEEECBE3-D2E5-1746-BD2E-3A1142531DDD}" type="pres">
      <dgm:prSet presAssocID="{80703968-C224-DC4E-A21E-EDB9B4CA43C2}" presName="spNode" presStyleCnt="0"/>
      <dgm:spPr/>
    </dgm:pt>
    <dgm:pt modelId="{1913C016-FE47-E24F-AC49-3166FDADE581}" type="pres">
      <dgm:prSet presAssocID="{5578BC09-CDE9-BC44-8ECC-9A3CDA5A954B}" presName="sibTrans" presStyleLbl="sibTrans1D1" presStyleIdx="3" presStyleCnt="4"/>
      <dgm:spPr/>
      <dgm:t>
        <a:bodyPr/>
        <a:lstStyle/>
        <a:p>
          <a:endParaRPr lang="en-GB"/>
        </a:p>
      </dgm:t>
    </dgm:pt>
  </dgm:ptLst>
  <dgm:cxnLst>
    <dgm:cxn modelId="{46576923-2694-E24D-8108-D69FC186C8C9}" type="presOf" srcId="{D2E6C290-7F44-E342-816C-7651911EB482}" destId="{BCE07B45-5B72-4A49-B15A-442170BC112B}" srcOrd="0" destOrd="0" presId="urn:microsoft.com/office/officeart/2005/8/layout/cycle6"/>
    <dgm:cxn modelId="{2DBED725-D3CD-E042-9DEA-97D63EC6D872}" srcId="{E3912B3B-04D4-8044-AD6A-BA3546922ED6}" destId="{5BB3B078-FC7E-AE47-ADEA-A6BFCCADC973}" srcOrd="2" destOrd="0" parTransId="{56EF45E1-AC98-7749-B23C-CA7B125FAFCF}" sibTransId="{9B36B787-6C7C-D145-AA48-0545047E986C}"/>
    <dgm:cxn modelId="{F2BF5872-059E-6049-8E50-61470C6FC75C}" type="presOf" srcId="{6E658D61-9451-9346-B181-37BF3EF340CB}" destId="{6EEC5B51-9D92-F44F-A2A7-FAE994CB3486}" srcOrd="0" destOrd="0" presId="urn:microsoft.com/office/officeart/2005/8/layout/cycle6"/>
    <dgm:cxn modelId="{3DA85BE3-0C09-C548-B6DD-B2B256B290DF}" type="presOf" srcId="{9B36B787-6C7C-D145-AA48-0545047E986C}" destId="{355A13E1-F3D2-A744-8C36-84B089A3941E}" srcOrd="0" destOrd="0" presId="urn:microsoft.com/office/officeart/2005/8/layout/cycle6"/>
    <dgm:cxn modelId="{54F1E589-AD08-3847-9C5A-F99666405D30}" srcId="{E3912B3B-04D4-8044-AD6A-BA3546922ED6}" destId="{D2E6C290-7F44-E342-816C-7651911EB482}" srcOrd="1" destOrd="0" parTransId="{6EABDDBC-8185-F54C-BA60-C4278B582683}" sibTransId="{89574192-8365-5948-B8BE-FA2E6C521572}"/>
    <dgm:cxn modelId="{0E5074FF-2A30-8D4D-8152-CFB0B1FC041C}" type="presOf" srcId="{5578BC09-CDE9-BC44-8ECC-9A3CDA5A954B}" destId="{1913C016-FE47-E24F-AC49-3166FDADE581}" srcOrd="0" destOrd="0" presId="urn:microsoft.com/office/officeart/2005/8/layout/cycle6"/>
    <dgm:cxn modelId="{A7C80A92-399F-1944-973A-51849F5AAD7D}" type="presOf" srcId="{145E2EF5-9E9B-AB4A-A355-6080ECBFD9BC}" destId="{3D069D34-1D80-3548-8CD4-7777BF328E3A}" srcOrd="0" destOrd="0" presId="urn:microsoft.com/office/officeart/2005/8/layout/cycle6"/>
    <dgm:cxn modelId="{65F3D5C6-A37B-0A4E-9779-6E5EB6826CD9}" type="presOf" srcId="{5BB3B078-FC7E-AE47-ADEA-A6BFCCADC973}" destId="{CDA1B77E-BE8F-7545-9055-0784F5BC2602}" srcOrd="0" destOrd="0" presId="urn:microsoft.com/office/officeart/2005/8/layout/cycle6"/>
    <dgm:cxn modelId="{3EBE0979-FAD5-874A-9739-E4653942EB44}" srcId="{E3912B3B-04D4-8044-AD6A-BA3546922ED6}" destId="{80703968-C224-DC4E-A21E-EDB9B4CA43C2}" srcOrd="3" destOrd="0" parTransId="{D71FB5EF-26E8-314F-8E56-023F6067BEDE}" sibTransId="{5578BC09-CDE9-BC44-8ECC-9A3CDA5A954B}"/>
    <dgm:cxn modelId="{B0F1C079-7C21-4B49-A501-016FDBA7371C}" type="presOf" srcId="{E3912B3B-04D4-8044-AD6A-BA3546922ED6}" destId="{959FD4BE-5EDB-5A42-8707-B2C411724B5F}" srcOrd="0" destOrd="0" presId="urn:microsoft.com/office/officeart/2005/8/layout/cycle6"/>
    <dgm:cxn modelId="{2E45CA30-4DEC-0F42-97D3-97D7DCAE7595}" type="presOf" srcId="{89574192-8365-5948-B8BE-FA2E6C521572}" destId="{0B3F485B-5F0F-5F45-BA9A-CA22BA61BBF9}" srcOrd="0" destOrd="0" presId="urn:microsoft.com/office/officeart/2005/8/layout/cycle6"/>
    <dgm:cxn modelId="{EF647CF0-F305-8945-BD22-83FD1CF4EAAC}" srcId="{E3912B3B-04D4-8044-AD6A-BA3546922ED6}" destId="{6E658D61-9451-9346-B181-37BF3EF340CB}" srcOrd="0" destOrd="0" parTransId="{F9F5CABC-F1C0-C54F-9E90-725D66DC0F26}" sibTransId="{145E2EF5-9E9B-AB4A-A355-6080ECBFD9BC}"/>
    <dgm:cxn modelId="{6E08C550-320E-F844-9A09-6F5FDFF5CCFB}" type="presOf" srcId="{80703968-C224-DC4E-A21E-EDB9B4CA43C2}" destId="{54D2A21F-96D1-3046-8B78-10E103EB7F14}" srcOrd="0" destOrd="0" presId="urn:microsoft.com/office/officeart/2005/8/layout/cycle6"/>
    <dgm:cxn modelId="{F20CA994-F0A7-8346-9FE1-CBFBB4B701AC}" type="presParOf" srcId="{959FD4BE-5EDB-5A42-8707-B2C411724B5F}" destId="{6EEC5B51-9D92-F44F-A2A7-FAE994CB3486}" srcOrd="0" destOrd="0" presId="urn:microsoft.com/office/officeart/2005/8/layout/cycle6"/>
    <dgm:cxn modelId="{6E6BE771-B16E-784A-8037-091DE5B9020E}" type="presParOf" srcId="{959FD4BE-5EDB-5A42-8707-B2C411724B5F}" destId="{174C0158-8762-7F40-B7DA-33F72AE37C18}" srcOrd="1" destOrd="0" presId="urn:microsoft.com/office/officeart/2005/8/layout/cycle6"/>
    <dgm:cxn modelId="{73EDFE8B-00AA-4549-BA40-DC5F397D55A0}" type="presParOf" srcId="{959FD4BE-5EDB-5A42-8707-B2C411724B5F}" destId="{3D069D34-1D80-3548-8CD4-7777BF328E3A}" srcOrd="2" destOrd="0" presId="urn:microsoft.com/office/officeart/2005/8/layout/cycle6"/>
    <dgm:cxn modelId="{F62A6953-B376-534D-9799-F046F672537A}" type="presParOf" srcId="{959FD4BE-5EDB-5A42-8707-B2C411724B5F}" destId="{BCE07B45-5B72-4A49-B15A-442170BC112B}" srcOrd="3" destOrd="0" presId="urn:microsoft.com/office/officeart/2005/8/layout/cycle6"/>
    <dgm:cxn modelId="{D1B6EAF7-D420-4049-A335-4FEA139D0B75}" type="presParOf" srcId="{959FD4BE-5EDB-5A42-8707-B2C411724B5F}" destId="{7D47771F-723D-534A-A889-7B4EB8FC8C85}" srcOrd="4" destOrd="0" presId="urn:microsoft.com/office/officeart/2005/8/layout/cycle6"/>
    <dgm:cxn modelId="{E047C61C-0566-3440-B37E-8CBCEBE65152}" type="presParOf" srcId="{959FD4BE-5EDB-5A42-8707-B2C411724B5F}" destId="{0B3F485B-5F0F-5F45-BA9A-CA22BA61BBF9}" srcOrd="5" destOrd="0" presId="urn:microsoft.com/office/officeart/2005/8/layout/cycle6"/>
    <dgm:cxn modelId="{1577F93E-FA11-6348-B132-D7B0E304A6C8}" type="presParOf" srcId="{959FD4BE-5EDB-5A42-8707-B2C411724B5F}" destId="{CDA1B77E-BE8F-7545-9055-0784F5BC2602}" srcOrd="6" destOrd="0" presId="urn:microsoft.com/office/officeart/2005/8/layout/cycle6"/>
    <dgm:cxn modelId="{54B0CF56-188A-5144-A193-6650B5B94429}" type="presParOf" srcId="{959FD4BE-5EDB-5A42-8707-B2C411724B5F}" destId="{70E31A2F-7189-FA4D-A45C-0E6EC5840A72}" srcOrd="7" destOrd="0" presId="urn:microsoft.com/office/officeart/2005/8/layout/cycle6"/>
    <dgm:cxn modelId="{C6E9550A-2EF3-6149-8FAF-74280D699964}" type="presParOf" srcId="{959FD4BE-5EDB-5A42-8707-B2C411724B5F}" destId="{355A13E1-F3D2-A744-8C36-84B089A3941E}" srcOrd="8" destOrd="0" presId="urn:microsoft.com/office/officeart/2005/8/layout/cycle6"/>
    <dgm:cxn modelId="{5A6CE0AB-A799-FE4F-B918-859D468F9571}" type="presParOf" srcId="{959FD4BE-5EDB-5A42-8707-B2C411724B5F}" destId="{54D2A21F-96D1-3046-8B78-10E103EB7F14}" srcOrd="9" destOrd="0" presId="urn:microsoft.com/office/officeart/2005/8/layout/cycle6"/>
    <dgm:cxn modelId="{10EFA54E-9DD7-DE47-88DF-9BCBCAC0F175}" type="presParOf" srcId="{959FD4BE-5EDB-5A42-8707-B2C411724B5F}" destId="{CEEECBE3-D2E5-1746-BD2E-3A1142531DDD}" srcOrd="10" destOrd="0" presId="urn:microsoft.com/office/officeart/2005/8/layout/cycle6"/>
    <dgm:cxn modelId="{6F72FC60-8BA3-B248-9ED4-60A21DB77A8F}" type="presParOf" srcId="{959FD4BE-5EDB-5A42-8707-B2C411724B5F}" destId="{1913C016-FE47-E24F-AC49-3166FDADE581}" srcOrd="11" destOrd="0" presId="urn:microsoft.com/office/officeart/2005/8/layout/cycle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EC5B51-9D92-F44F-A2A7-FAE994CB3486}">
      <dsp:nvSpPr>
        <dsp:cNvPr id="0" name=""/>
        <dsp:cNvSpPr/>
      </dsp:nvSpPr>
      <dsp:spPr>
        <a:xfrm>
          <a:off x="2171702" y="1"/>
          <a:ext cx="1098878" cy="714271"/>
        </a:xfrm>
        <a:prstGeom prst="roundRect">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Create impetus for change</a:t>
          </a:r>
        </a:p>
      </dsp:txBody>
      <dsp:txXfrm>
        <a:off x="2206570" y="34869"/>
        <a:ext cx="1029142" cy="644535"/>
      </dsp:txXfrm>
    </dsp:sp>
    <dsp:sp modelId="{3D069D34-1D80-3548-8CD4-7777BF328E3A}">
      <dsp:nvSpPr>
        <dsp:cNvPr id="0" name=""/>
        <dsp:cNvSpPr/>
      </dsp:nvSpPr>
      <dsp:spPr>
        <a:xfrm>
          <a:off x="1454284" y="351866"/>
          <a:ext cx="2357796" cy="2357796"/>
        </a:xfrm>
        <a:custGeom>
          <a:avLst/>
          <a:gdLst/>
          <a:ahLst/>
          <a:cxnLst/>
          <a:rect l="0" t="0" r="0" b="0"/>
          <a:pathLst>
            <a:path>
              <a:moveTo>
                <a:pt x="1823060" y="191550"/>
              </a:moveTo>
              <a:arcTo wR="1178898" hR="1178898" stAng="18187267" swAng="2351262"/>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CE07B45-5B72-4A49-B15A-442170BC112B}">
      <dsp:nvSpPr>
        <dsp:cNvPr id="0" name=""/>
        <dsp:cNvSpPr/>
      </dsp:nvSpPr>
      <dsp:spPr>
        <a:xfrm>
          <a:off x="3264708" y="1180199"/>
          <a:ext cx="1098878" cy="714271"/>
        </a:xfrm>
        <a:prstGeom prst="roundRect">
          <a:avLst/>
        </a:prstGeom>
        <a:gradFill rotWithShape="0">
          <a:gsLst>
            <a:gs pos="0">
              <a:schemeClr val="accent4">
                <a:hueOff val="-1488257"/>
                <a:satOff val="8966"/>
                <a:lumOff val="719"/>
                <a:alphaOff val="0"/>
                <a:tint val="100000"/>
                <a:shade val="100000"/>
                <a:satMod val="130000"/>
              </a:schemeClr>
            </a:gs>
            <a:gs pos="100000">
              <a:schemeClr val="accent4">
                <a:hueOff val="-1488257"/>
                <a:satOff val="8966"/>
                <a:lumOff val="719"/>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Enlist a cadre of influential supporters</a:t>
          </a:r>
        </a:p>
      </dsp:txBody>
      <dsp:txXfrm>
        <a:off x="3299576" y="1215067"/>
        <a:ext cx="1029142" cy="644535"/>
      </dsp:txXfrm>
    </dsp:sp>
    <dsp:sp modelId="{0B3F485B-5F0F-5F45-BA9A-CA22BA61BBF9}">
      <dsp:nvSpPr>
        <dsp:cNvPr id="0" name=""/>
        <dsp:cNvSpPr/>
      </dsp:nvSpPr>
      <dsp:spPr>
        <a:xfrm>
          <a:off x="1456351" y="358436"/>
          <a:ext cx="2357796" cy="2357796"/>
        </a:xfrm>
        <a:custGeom>
          <a:avLst/>
          <a:gdLst/>
          <a:ahLst/>
          <a:cxnLst/>
          <a:rect l="0" t="0" r="0" b="0"/>
          <a:pathLst>
            <a:path>
              <a:moveTo>
                <a:pt x="2299657" y="1544547"/>
              </a:moveTo>
              <a:arcTo wR="1178898" hR="1178898" stAng="1084139" swAng="2623042"/>
            </a:path>
          </a:pathLst>
        </a:custGeom>
        <a:noFill/>
        <a:ln w="9525" cap="flat" cmpd="sng" algn="ctr">
          <a:solidFill>
            <a:schemeClr val="accent4">
              <a:hueOff val="-1488257"/>
              <a:satOff val="8966"/>
              <a:lumOff val="719"/>
              <a:alphaOff val="0"/>
            </a:schemeClr>
          </a:solidFill>
          <a:prstDash val="solid"/>
        </a:ln>
        <a:effectLst/>
      </dsp:spPr>
      <dsp:style>
        <a:lnRef idx="1">
          <a:scrgbClr r="0" g="0" b="0"/>
        </a:lnRef>
        <a:fillRef idx="0">
          <a:scrgbClr r="0" g="0" b="0"/>
        </a:fillRef>
        <a:effectRef idx="0">
          <a:scrgbClr r="0" g="0" b="0"/>
        </a:effectRef>
        <a:fontRef idx="minor"/>
      </dsp:style>
    </dsp:sp>
    <dsp:sp modelId="{CDA1B77E-BE8F-7545-9055-0784F5BC2602}">
      <dsp:nvSpPr>
        <dsp:cNvPr id="0" name=""/>
        <dsp:cNvSpPr/>
      </dsp:nvSpPr>
      <dsp:spPr>
        <a:xfrm>
          <a:off x="2085810" y="2359097"/>
          <a:ext cx="1098878" cy="714271"/>
        </a:xfrm>
        <a:prstGeom prst="roundRect">
          <a:avLst/>
        </a:prstGeom>
        <a:gradFill rotWithShape="0">
          <a:gsLst>
            <a:gs pos="0">
              <a:schemeClr val="accent4">
                <a:hueOff val="-2976513"/>
                <a:satOff val="17933"/>
                <a:lumOff val="1437"/>
                <a:alphaOff val="0"/>
                <a:tint val="100000"/>
                <a:shade val="100000"/>
                <a:satMod val="130000"/>
              </a:schemeClr>
            </a:gs>
            <a:gs pos="100000">
              <a:schemeClr val="accent4">
                <a:hueOff val="-2976513"/>
                <a:satOff val="17933"/>
                <a:lumOff val="1437"/>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Paint a compelling future</a:t>
          </a:r>
        </a:p>
      </dsp:txBody>
      <dsp:txXfrm>
        <a:off x="2120678" y="2393965"/>
        <a:ext cx="1029142" cy="644535"/>
      </dsp:txXfrm>
    </dsp:sp>
    <dsp:sp modelId="{355A13E1-F3D2-A744-8C36-84B089A3941E}">
      <dsp:nvSpPr>
        <dsp:cNvPr id="0" name=""/>
        <dsp:cNvSpPr/>
      </dsp:nvSpPr>
      <dsp:spPr>
        <a:xfrm>
          <a:off x="1456351" y="358436"/>
          <a:ext cx="2357796" cy="2357796"/>
        </a:xfrm>
        <a:custGeom>
          <a:avLst/>
          <a:gdLst/>
          <a:ahLst/>
          <a:cxnLst/>
          <a:rect l="0" t="0" r="0" b="0"/>
          <a:pathLst>
            <a:path>
              <a:moveTo>
                <a:pt x="621561" y="2217732"/>
              </a:moveTo>
              <a:arcTo wR="1178898" hR="1178898" stAng="7092819" swAng="2623042"/>
            </a:path>
          </a:pathLst>
        </a:custGeom>
        <a:noFill/>
        <a:ln w="9525" cap="flat" cmpd="sng" algn="ctr">
          <a:solidFill>
            <a:schemeClr val="accent4">
              <a:hueOff val="-2976513"/>
              <a:satOff val="17933"/>
              <a:lumOff val="1437"/>
              <a:alphaOff val="0"/>
            </a:schemeClr>
          </a:solidFill>
          <a:prstDash val="solid"/>
        </a:ln>
        <a:effectLst/>
      </dsp:spPr>
      <dsp:style>
        <a:lnRef idx="1">
          <a:scrgbClr r="0" g="0" b="0"/>
        </a:lnRef>
        <a:fillRef idx="0">
          <a:scrgbClr r="0" g="0" b="0"/>
        </a:fillRef>
        <a:effectRef idx="0">
          <a:scrgbClr r="0" g="0" b="0"/>
        </a:effectRef>
        <a:fontRef idx="minor"/>
      </dsp:style>
    </dsp:sp>
    <dsp:sp modelId="{54D2A21F-96D1-3046-8B78-10E103EB7F14}">
      <dsp:nvSpPr>
        <dsp:cNvPr id="0" name=""/>
        <dsp:cNvSpPr/>
      </dsp:nvSpPr>
      <dsp:spPr>
        <a:xfrm>
          <a:off x="906912" y="1180199"/>
          <a:ext cx="1098878" cy="714271"/>
        </a:xfrm>
        <a:prstGeom prst="roundRect">
          <a:avLst/>
        </a:prstGeom>
        <a:gradFill rotWithShape="0">
          <a:gsLst>
            <a:gs pos="0">
              <a:schemeClr val="accent4">
                <a:hueOff val="-4464770"/>
                <a:satOff val="26899"/>
                <a:lumOff val="2156"/>
                <a:alphaOff val="0"/>
                <a:tint val="100000"/>
                <a:shade val="100000"/>
                <a:satMod val="130000"/>
              </a:schemeClr>
            </a:gs>
            <a:gs pos="100000">
              <a:schemeClr val="accent4">
                <a:hueOff val="-4464770"/>
                <a:satOff val="26899"/>
                <a:lumOff val="2156"/>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Now you can think about implementation!</a:t>
          </a:r>
        </a:p>
      </dsp:txBody>
      <dsp:txXfrm>
        <a:off x="941780" y="1215067"/>
        <a:ext cx="1029142" cy="644535"/>
      </dsp:txXfrm>
    </dsp:sp>
    <dsp:sp modelId="{1913C016-FE47-E24F-AC49-3166FDADE581}">
      <dsp:nvSpPr>
        <dsp:cNvPr id="0" name=""/>
        <dsp:cNvSpPr/>
      </dsp:nvSpPr>
      <dsp:spPr>
        <a:xfrm>
          <a:off x="1458103" y="352879"/>
          <a:ext cx="2357796" cy="2357796"/>
        </a:xfrm>
        <a:custGeom>
          <a:avLst/>
          <a:gdLst/>
          <a:ahLst/>
          <a:cxnLst/>
          <a:rect l="0" t="0" r="0" b="0"/>
          <a:pathLst>
            <a:path>
              <a:moveTo>
                <a:pt x="56623" y="817927"/>
              </a:moveTo>
              <a:arcTo wR="1178898" hR="1178898" stAng="11869798" swAng="2906674"/>
            </a:path>
          </a:pathLst>
        </a:custGeom>
        <a:noFill/>
        <a:ln w="9525" cap="flat" cmpd="sng" algn="ctr">
          <a:solidFill>
            <a:schemeClr val="accent4">
              <a:hueOff val="-4464770"/>
              <a:satOff val="26899"/>
              <a:lumOff val="2156"/>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teevan</dc:creator>
  <cp:lastModifiedBy>Milner</cp:lastModifiedBy>
  <cp:revision>2</cp:revision>
  <dcterms:created xsi:type="dcterms:W3CDTF">2016-12-08T09:38:00Z</dcterms:created>
  <dcterms:modified xsi:type="dcterms:W3CDTF">2016-12-08T09:38:00Z</dcterms:modified>
</cp:coreProperties>
</file>